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42A6" w14:textId="77777777" w:rsidR="0098741D" w:rsidRPr="00435829" w:rsidRDefault="0098741D" w:rsidP="0098741D">
      <w:pPr>
        <w:tabs>
          <w:tab w:val="left" w:pos="0"/>
        </w:tabs>
        <w:spacing w:after="0"/>
        <w:ind w:left="720" w:hanging="360"/>
        <w:jc w:val="center"/>
        <w:rPr>
          <w:b/>
          <w:bCs/>
          <w:i/>
          <w:iCs/>
          <w:sz w:val="32"/>
          <w:szCs w:val="32"/>
        </w:rPr>
      </w:pPr>
      <w:r w:rsidRPr="00435829">
        <w:rPr>
          <w:b/>
          <w:bCs/>
          <w:i/>
          <w:iCs/>
          <w:sz w:val="32"/>
          <w:szCs w:val="32"/>
        </w:rPr>
        <w:t>HENNEPIN COUNTY BROWNFIELD GAP FINANCING PROGRAM (“BGFP”)</w:t>
      </w:r>
    </w:p>
    <w:p w14:paraId="2E54AFE0" w14:textId="77777777" w:rsidR="0098741D" w:rsidRPr="00435829" w:rsidRDefault="0098741D" w:rsidP="0098741D">
      <w:pPr>
        <w:tabs>
          <w:tab w:val="left" w:pos="0"/>
        </w:tabs>
        <w:spacing w:after="0"/>
        <w:ind w:left="720" w:hanging="360"/>
        <w:jc w:val="center"/>
        <w:rPr>
          <w:b/>
          <w:bCs/>
          <w:i/>
          <w:iCs/>
          <w:sz w:val="32"/>
          <w:szCs w:val="32"/>
        </w:rPr>
      </w:pPr>
      <w:r w:rsidRPr="00435829">
        <w:rPr>
          <w:b/>
          <w:bCs/>
          <w:i/>
          <w:iCs/>
          <w:sz w:val="32"/>
          <w:szCs w:val="32"/>
        </w:rPr>
        <w:t>MINNESOTA BROWNFIELDS, BGFP ADMINISTRATOR</w:t>
      </w:r>
    </w:p>
    <w:p w14:paraId="01EBE87D" w14:textId="77777777" w:rsidR="0098741D" w:rsidRPr="00435829" w:rsidRDefault="0098741D" w:rsidP="0098741D">
      <w:pPr>
        <w:tabs>
          <w:tab w:val="left" w:pos="0"/>
        </w:tabs>
        <w:spacing w:after="0"/>
        <w:ind w:left="720" w:hanging="360"/>
        <w:jc w:val="center"/>
        <w:rPr>
          <w:b/>
          <w:bCs/>
          <w:i/>
          <w:iCs/>
          <w:sz w:val="32"/>
          <w:szCs w:val="32"/>
        </w:rPr>
      </w:pPr>
      <w:r>
        <w:rPr>
          <w:b/>
          <w:bCs/>
          <w:i/>
          <w:iCs/>
          <w:sz w:val="32"/>
          <w:szCs w:val="32"/>
        </w:rPr>
        <w:t>………………………</w:t>
      </w:r>
    </w:p>
    <w:p w14:paraId="5242BB28" w14:textId="77777777" w:rsidR="0098741D" w:rsidRDefault="0098741D" w:rsidP="0098741D">
      <w:pPr>
        <w:tabs>
          <w:tab w:val="left" w:pos="0"/>
        </w:tabs>
        <w:spacing w:after="0"/>
        <w:ind w:left="720" w:hanging="360"/>
        <w:jc w:val="center"/>
        <w:rPr>
          <w:b/>
          <w:bCs/>
          <w:i/>
          <w:iCs/>
          <w:sz w:val="32"/>
          <w:szCs w:val="32"/>
        </w:rPr>
      </w:pPr>
      <w:r w:rsidRPr="00435829">
        <w:rPr>
          <w:b/>
          <w:bCs/>
          <w:i/>
          <w:iCs/>
          <w:sz w:val="32"/>
          <w:szCs w:val="32"/>
        </w:rPr>
        <w:t>ADMINISTRATIVE POLICIES</w:t>
      </w:r>
    </w:p>
    <w:p w14:paraId="6512CCC4" w14:textId="77777777" w:rsidR="0098741D" w:rsidRDefault="0098741D" w:rsidP="0098741D">
      <w:pPr>
        <w:tabs>
          <w:tab w:val="left" w:pos="0"/>
        </w:tabs>
        <w:ind w:left="720" w:hanging="360"/>
        <w:jc w:val="center"/>
        <w:rPr>
          <w:b/>
          <w:bCs/>
          <w:u w:val="single"/>
        </w:rPr>
      </w:pPr>
      <w:r>
        <w:rPr>
          <w:b/>
          <w:bCs/>
          <w:i/>
          <w:iCs/>
          <w:sz w:val="32"/>
          <w:szCs w:val="32"/>
        </w:rPr>
        <w:t>November 1, 2025</w:t>
      </w:r>
    </w:p>
    <w:p w14:paraId="1D4666E1" w14:textId="77777777" w:rsidR="0098741D" w:rsidRDefault="0098741D" w:rsidP="0098741D">
      <w:pPr>
        <w:tabs>
          <w:tab w:val="left" w:pos="0"/>
        </w:tabs>
        <w:ind w:left="720" w:hanging="360"/>
        <w:rPr>
          <w:b/>
          <w:bCs/>
          <w:u w:val="single"/>
        </w:rPr>
      </w:pPr>
      <w:r>
        <w:rPr>
          <w:b/>
          <w:bCs/>
          <w:u w:val="single"/>
        </w:rPr>
        <w:t>PRIOR TO SUBMITTING AN APPLICATION ON BEHALF OF YOUR CLIENT, YOU MUST:</w:t>
      </w:r>
    </w:p>
    <w:p w14:paraId="30E579E4" w14:textId="77777777" w:rsidR="0098741D" w:rsidRDefault="0098741D" w:rsidP="0098741D">
      <w:pPr>
        <w:pStyle w:val="ListParagraph"/>
        <w:numPr>
          <w:ilvl w:val="0"/>
          <w:numId w:val="1"/>
        </w:numPr>
        <w:tabs>
          <w:tab w:val="left" w:pos="0"/>
          <w:tab w:val="left" w:pos="720"/>
        </w:tabs>
        <w:ind w:left="630" w:hanging="630"/>
      </w:pPr>
      <w:r>
        <w:t xml:space="preserve">Be approved by Minnesota Brownfields as an eligible consulting firm.  Go to link  </w:t>
      </w:r>
      <w:hyperlink r:id="rId7" w:anchor="033973826dfc" w:history="1">
        <w:r w:rsidRPr="006F78DF">
          <w:rPr>
            <w:rStyle w:val="Hyperlink"/>
          </w:rPr>
          <w:t>Hennepin County GAP Financing Program (mnbrownfields.org)</w:t>
        </w:r>
      </w:hyperlink>
      <w:r>
        <w:t xml:space="preserve"> for an overview of consultant and submission requirements.  Approval requires being an approved contractor to Hennepin County.</w:t>
      </w:r>
    </w:p>
    <w:p w14:paraId="6E81E37C" w14:textId="77777777" w:rsidR="0098741D" w:rsidRDefault="0098741D" w:rsidP="0098741D">
      <w:pPr>
        <w:pStyle w:val="ListParagraph"/>
        <w:tabs>
          <w:tab w:val="left" w:pos="0"/>
        </w:tabs>
        <w:ind w:left="1080"/>
      </w:pPr>
    </w:p>
    <w:p w14:paraId="08010D14" w14:textId="77777777" w:rsidR="0098741D" w:rsidRDefault="0098741D" w:rsidP="0098741D">
      <w:pPr>
        <w:pStyle w:val="ListParagraph"/>
        <w:numPr>
          <w:ilvl w:val="0"/>
          <w:numId w:val="1"/>
        </w:numPr>
        <w:tabs>
          <w:tab w:val="left" w:pos="0"/>
        </w:tabs>
        <w:ind w:left="630" w:hanging="630"/>
      </w:pPr>
      <w:r>
        <w:t xml:space="preserve">Provide to Minnesota Brownfields on </w:t>
      </w:r>
      <w:r w:rsidRPr="00A75897">
        <w:rPr>
          <w:u w:val="single"/>
        </w:rPr>
        <w:t>January 1, ANUALLY</w:t>
      </w:r>
      <w:r>
        <w:t xml:space="preserve">, your firm’s Certificate of Insurance with Minnesota Brownfields and Hennepin County named as an </w:t>
      </w:r>
      <w:r w:rsidRPr="00DA5439">
        <w:rPr>
          <w:color w:val="FF0000"/>
          <w:u w:val="single"/>
        </w:rPr>
        <w:t>Additional Insured</w:t>
      </w:r>
      <w:r w:rsidRPr="00DA5439">
        <w:rPr>
          <w:color w:val="FF0000"/>
        </w:rPr>
        <w:t xml:space="preserve"> </w:t>
      </w:r>
      <w:r>
        <w:t>and with the following minimum coverage:</w:t>
      </w:r>
    </w:p>
    <w:p w14:paraId="2B5F63A7" w14:textId="77777777" w:rsidR="0098741D" w:rsidRDefault="0098741D" w:rsidP="0098741D">
      <w:pPr>
        <w:pStyle w:val="ListParagraph"/>
        <w:tabs>
          <w:tab w:val="left" w:pos="0"/>
        </w:tabs>
        <w:ind w:left="1080"/>
      </w:pPr>
    </w:p>
    <w:p w14:paraId="057EB7AB" w14:textId="77777777" w:rsidR="0098741D" w:rsidRPr="00AB0BE6" w:rsidRDefault="0098741D" w:rsidP="0098741D">
      <w:pPr>
        <w:ind w:left="720"/>
        <w:jc w:val="both"/>
      </w:pPr>
      <w:r w:rsidRPr="00AB0BE6">
        <w:t>Commercial General Liability on an occurrence basis with Contractual Liability Coverage:</w:t>
      </w:r>
    </w:p>
    <w:p w14:paraId="6958BEDC" w14:textId="77777777" w:rsidR="0098741D" w:rsidRPr="00AB0BE6" w:rsidRDefault="0098741D" w:rsidP="0098741D">
      <w:pPr>
        <w:ind w:left="720"/>
        <w:jc w:val="both"/>
      </w:pPr>
    </w:p>
    <w:p w14:paraId="0C9EF06A" w14:textId="77777777" w:rsidR="0098741D" w:rsidRPr="00AB0BE6" w:rsidRDefault="0098741D" w:rsidP="0098741D">
      <w:pPr>
        <w:ind w:firstLine="720"/>
        <w:jc w:val="both"/>
        <w:rPr>
          <w:u w:val="single"/>
        </w:rPr>
      </w:pPr>
      <w:r w:rsidRPr="00AB0BE6">
        <w:tab/>
      </w:r>
      <w:r w:rsidRPr="00AB0BE6">
        <w:tab/>
      </w:r>
      <w:r w:rsidRPr="00AB0BE6">
        <w:tab/>
      </w:r>
      <w:r w:rsidRPr="00AB0BE6">
        <w:tab/>
      </w:r>
      <w:r w:rsidRPr="00AB0BE6">
        <w:tab/>
      </w:r>
      <w:r w:rsidRPr="00AB0BE6">
        <w:tab/>
      </w:r>
      <w:r w:rsidRPr="00AB0BE6">
        <w:tab/>
      </w:r>
      <w:r w:rsidRPr="00AB0BE6">
        <w:tab/>
      </w:r>
      <w:r w:rsidRPr="00AB0BE6">
        <w:tab/>
      </w:r>
      <w:r w:rsidRPr="00AB0BE6">
        <w:tab/>
      </w:r>
      <w:r w:rsidRPr="00AB0BE6">
        <w:rPr>
          <w:u w:val="single"/>
        </w:rPr>
        <w:t>Limits</w:t>
      </w:r>
    </w:p>
    <w:p w14:paraId="4879DAF7" w14:textId="77777777" w:rsidR="0098741D" w:rsidRPr="00AB0BE6" w:rsidRDefault="0098741D" w:rsidP="0098741D">
      <w:pPr>
        <w:pStyle w:val="ListParagraph"/>
        <w:numPr>
          <w:ilvl w:val="0"/>
          <w:numId w:val="5"/>
        </w:numPr>
        <w:jc w:val="both"/>
      </w:pPr>
      <w:r w:rsidRPr="00AB0BE6">
        <w:t>General Aggregate</w:t>
      </w:r>
      <w:r w:rsidRPr="00AB0BE6">
        <w:tab/>
      </w:r>
      <w:r w:rsidRPr="00AB0BE6">
        <w:tab/>
      </w:r>
      <w:r w:rsidRPr="00AB0BE6">
        <w:tab/>
      </w:r>
      <w:r w:rsidRPr="00AB0BE6">
        <w:tab/>
      </w:r>
      <w:r w:rsidRPr="00AB0BE6">
        <w:tab/>
      </w:r>
      <w:r w:rsidRPr="00AB0BE6">
        <w:tab/>
      </w:r>
      <w:r w:rsidRPr="00AB0BE6">
        <w:tab/>
      </w:r>
      <w:r>
        <w:tab/>
      </w:r>
      <w:r w:rsidRPr="00AB0BE6">
        <w:t>$2,000,000</w:t>
      </w:r>
    </w:p>
    <w:p w14:paraId="05D20203" w14:textId="77777777" w:rsidR="0098741D" w:rsidRPr="00AB0BE6" w:rsidRDefault="0098741D" w:rsidP="0098741D">
      <w:pPr>
        <w:pStyle w:val="NoSpacing"/>
        <w:ind w:left="720"/>
      </w:pPr>
      <w:r w:rsidRPr="00AB0BE6">
        <w:t>Products-Completed Operations Aggregate</w:t>
      </w:r>
      <w:r w:rsidRPr="00AB0BE6">
        <w:tab/>
      </w:r>
      <w:r w:rsidRPr="00AB0BE6">
        <w:tab/>
      </w:r>
      <w:r w:rsidRPr="00AB0BE6">
        <w:tab/>
      </w:r>
      <w:r w:rsidRPr="00AB0BE6">
        <w:tab/>
      </w:r>
      <w:r>
        <w:tab/>
        <w:t>$</w:t>
      </w:r>
      <w:r w:rsidRPr="00AB0BE6">
        <w:t>2,000,000</w:t>
      </w:r>
    </w:p>
    <w:p w14:paraId="64A3DD1E" w14:textId="77777777" w:rsidR="0098741D" w:rsidRPr="00AB0BE6" w:rsidRDefault="0098741D" w:rsidP="0098741D">
      <w:pPr>
        <w:pStyle w:val="NoSpacing"/>
        <w:ind w:left="720"/>
      </w:pPr>
      <w:r w:rsidRPr="00AB0BE6">
        <w:t>Personal and Advertising Injury</w:t>
      </w:r>
      <w:r w:rsidRPr="00AB0BE6">
        <w:tab/>
      </w:r>
      <w:r w:rsidRPr="00AB0BE6">
        <w:tab/>
      </w:r>
      <w:r w:rsidRPr="00AB0BE6">
        <w:tab/>
      </w:r>
      <w:r w:rsidRPr="00AB0BE6">
        <w:tab/>
      </w:r>
      <w:r w:rsidRPr="00AB0BE6">
        <w:tab/>
      </w:r>
      <w:r w:rsidRPr="00AB0BE6">
        <w:tab/>
        <w:t xml:space="preserve"> </w:t>
      </w:r>
      <w:r>
        <w:tab/>
        <w:t>$</w:t>
      </w:r>
      <w:r w:rsidRPr="00AB0BE6">
        <w:t>1,500,000</w:t>
      </w:r>
    </w:p>
    <w:p w14:paraId="7D66B24B" w14:textId="77777777" w:rsidR="0098741D" w:rsidRPr="00AB0BE6" w:rsidRDefault="0098741D" w:rsidP="0098741D">
      <w:pPr>
        <w:pStyle w:val="NoSpacing"/>
        <w:ind w:left="720"/>
      </w:pPr>
      <w:r w:rsidRPr="00AB0BE6">
        <w:t xml:space="preserve">Each Occurrence – </w:t>
      </w:r>
    </w:p>
    <w:p w14:paraId="67D2E4C0" w14:textId="77777777" w:rsidR="0098741D" w:rsidRPr="00AB0BE6" w:rsidRDefault="0098741D" w:rsidP="0098741D">
      <w:pPr>
        <w:pStyle w:val="NoSpacing"/>
        <w:ind w:left="720"/>
      </w:pPr>
      <w:r w:rsidRPr="00AB0BE6">
        <w:t>Combined Bodily Injury and Property Damage</w:t>
      </w:r>
      <w:r w:rsidRPr="00AB0BE6">
        <w:tab/>
      </w:r>
      <w:r w:rsidRPr="00AB0BE6">
        <w:tab/>
      </w:r>
      <w:r>
        <w:tab/>
      </w:r>
      <w:r>
        <w:tab/>
      </w:r>
      <w:r>
        <w:tab/>
        <w:t>$</w:t>
      </w:r>
      <w:r w:rsidRPr="00AB0BE6">
        <w:t>1,500,000</w:t>
      </w:r>
    </w:p>
    <w:p w14:paraId="209E7D2F" w14:textId="77777777" w:rsidR="0098741D" w:rsidRPr="00AB0BE6" w:rsidRDefault="0098741D" w:rsidP="0098741D">
      <w:pPr>
        <w:ind w:left="720"/>
        <w:jc w:val="both"/>
      </w:pPr>
    </w:p>
    <w:p w14:paraId="7B3528F8" w14:textId="77777777" w:rsidR="0098741D" w:rsidRDefault="0098741D" w:rsidP="0098741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905"/>
        </w:tabs>
        <w:jc w:val="both"/>
      </w:pPr>
      <w:r w:rsidRPr="00AB0BE6">
        <w:t xml:space="preserve">Automobile Liability </w:t>
      </w:r>
      <w:r>
        <w:tab/>
      </w:r>
      <w:r>
        <w:tab/>
      </w:r>
      <w:r>
        <w:tab/>
      </w:r>
      <w:r>
        <w:tab/>
      </w:r>
      <w:r>
        <w:tab/>
      </w:r>
      <w:r>
        <w:tab/>
      </w:r>
      <w:r>
        <w:tab/>
        <w:t>$2,000,000</w:t>
      </w:r>
    </w:p>
    <w:p w14:paraId="4171BB70" w14:textId="77777777" w:rsidR="0098741D" w:rsidRDefault="0098741D" w:rsidP="0098741D">
      <w:pPr>
        <w:pStyle w:val="NoSpacing"/>
        <w:ind w:left="720"/>
      </w:pPr>
    </w:p>
    <w:p w14:paraId="43308F94" w14:textId="77777777" w:rsidR="0098741D" w:rsidRPr="00AB0BE6" w:rsidRDefault="0098741D" w:rsidP="0098741D">
      <w:pPr>
        <w:pStyle w:val="NoSpacing"/>
        <w:ind w:left="720"/>
      </w:pPr>
      <w:r w:rsidRPr="00AB0BE6">
        <w:t xml:space="preserve">Combined single limit each occurrence for </w:t>
      </w:r>
      <w:r w:rsidRPr="00AB0BE6">
        <w:tab/>
      </w:r>
      <w:r w:rsidRPr="00AB0BE6">
        <w:tab/>
        <w:t xml:space="preserve">  </w:t>
      </w:r>
    </w:p>
    <w:p w14:paraId="3900FD14" w14:textId="77777777" w:rsidR="0098741D" w:rsidRPr="00AB0BE6" w:rsidRDefault="0098741D" w:rsidP="0098741D">
      <w:pPr>
        <w:pStyle w:val="NoSpacing"/>
        <w:ind w:left="720"/>
      </w:pPr>
      <w:r w:rsidRPr="00AB0BE6">
        <w:t>bodily injury and property damage covering owned, non-owned, and hired</w:t>
      </w:r>
    </w:p>
    <w:p w14:paraId="75F9B9B6" w14:textId="77777777" w:rsidR="0098741D" w:rsidRPr="00AB0BE6" w:rsidRDefault="0098741D" w:rsidP="0098741D">
      <w:pPr>
        <w:pStyle w:val="NoSpacing"/>
        <w:ind w:left="720"/>
      </w:pPr>
      <w:r w:rsidRPr="00AB0BE6">
        <w:t>automobiles.</w:t>
      </w:r>
    </w:p>
    <w:p w14:paraId="085665F8" w14:textId="77777777" w:rsidR="0098741D" w:rsidRPr="00AB0BE6" w:rsidRDefault="0098741D" w:rsidP="0098741D">
      <w:pPr>
        <w:pStyle w:val="NoSpacing"/>
      </w:pPr>
    </w:p>
    <w:p w14:paraId="75928F77" w14:textId="77777777" w:rsidR="0098741D" w:rsidRPr="00AB0BE6" w:rsidRDefault="0098741D" w:rsidP="0098741D">
      <w:pPr>
        <w:ind w:left="720"/>
        <w:jc w:val="both"/>
      </w:pPr>
      <w:r w:rsidRPr="00AB0BE6">
        <w:t>3.</w:t>
      </w:r>
      <w:r w:rsidRPr="00AB0BE6">
        <w:tab/>
        <w:t>Workers' Compensation and Employer's Liability:</w:t>
      </w:r>
    </w:p>
    <w:p w14:paraId="1296C729" w14:textId="77777777" w:rsidR="0098741D" w:rsidRPr="00AB0BE6" w:rsidRDefault="0098741D" w:rsidP="0098741D">
      <w:pPr>
        <w:ind w:left="1440"/>
        <w:jc w:val="both"/>
      </w:pPr>
      <w:r w:rsidRPr="00AB0BE6">
        <w:t>a.  Workers’ Compensation</w:t>
      </w:r>
      <w:r w:rsidRPr="00AB0BE6">
        <w:tab/>
      </w:r>
      <w:r w:rsidRPr="00AB0BE6">
        <w:tab/>
      </w:r>
      <w:r w:rsidRPr="00AB0BE6">
        <w:tab/>
      </w:r>
      <w:r w:rsidRPr="00AB0BE6">
        <w:tab/>
      </w:r>
      <w:r w:rsidRPr="00AB0BE6">
        <w:tab/>
      </w:r>
      <w:proofErr w:type="gramStart"/>
      <w:r w:rsidRPr="00AB0BE6">
        <w:tab/>
        <w:t xml:space="preserve">  Statutory</w:t>
      </w:r>
      <w:proofErr w:type="gramEnd"/>
    </w:p>
    <w:p w14:paraId="3D633E58" w14:textId="77777777" w:rsidR="0098741D" w:rsidRPr="00AB0BE6" w:rsidRDefault="0098741D" w:rsidP="0098741D">
      <w:pPr>
        <w:pStyle w:val="NoSpacing"/>
        <w:ind w:firstLine="720"/>
      </w:pPr>
      <w:r w:rsidRPr="00AB0BE6">
        <w:t xml:space="preserve">If GRANTEE is based outside the State of Minnesota, </w:t>
      </w:r>
    </w:p>
    <w:p w14:paraId="235B96A1" w14:textId="77777777" w:rsidR="0098741D" w:rsidRPr="00AB0BE6" w:rsidRDefault="0098741D" w:rsidP="0098741D">
      <w:pPr>
        <w:pStyle w:val="NoSpacing"/>
        <w:ind w:firstLine="720"/>
      </w:pPr>
      <w:r w:rsidRPr="00AB0BE6">
        <w:t xml:space="preserve">coverage must apply to Minnesota laws. COUNTY will </w:t>
      </w:r>
    </w:p>
    <w:p w14:paraId="0BAE5E1B" w14:textId="77777777" w:rsidR="0098741D" w:rsidRPr="00AB0BE6" w:rsidRDefault="0098741D" w:rsidP="0098741D">
      <w:pPr>
        <w:pStyle w:val="NoSpacing"/>
        <w:ind w:firstLine="720"/>
      </w:pPr>
      <w:r w:rsidRPr="00AB0BE6">
        <w:t xml:space="preserve">accept self-insurance certificate of GRANTEE if GRANTEE </w:t>
      </w:r>
    </w:p>
    <w:p w14:paraId="3B5CED74" w14:textId="77777777" w:rsidR="0098741D" w:rsidRPr="00AB0BE6" w:rsidRDefault="0098741D" w:rsidP="0098741D">
      <w:pPr>
        <w:ind w:firstLine="720"/>
        <w:jc w:val="both"/>
      </w:pPr>
      <w:r w:rsidRPr="00AB0BE6">
        <w:t xml:space="preserve">is self-insured under Minnesota law. </w:t>
      </w:r>
    </w:p>
    <w:p w14:paraId="770E4518" w14:textId="77777777" w:rsidR="0098741D" w:rsidRDefault="0098741D" w:rsidP="0098741D">
      <w:pPr>
        <w:ind w:left="720" w:firstLine="720"/>
        <w:jc w:val="both"/>
      </w:pPr>
    </w:p>
    <w:p w14:paraId="797D8E45" w14:textId="77777777" w:rsidR="0098741D" w:rsidRPr="00AB0BE6" w:rsidRDefault="0098741D" w:rsidP="0098741D">
      <w:pPr>
        <w:ind w:left="720" w:firstLine="720"/>
        <w:jc w:val="both"/>
      </w:pPr>
    </w:p>
    <w:p w14:paraId="60C7E447" w14:textId="77777777" w:rsidR="0098741D" w:rsidRPr="00AB0BE6" w:rsidRDefault="0098741D" w:rsidP="0098741D">
      <w:pPr>
        <w:ind w:left="720" w:firstLine="720"/>
        <w:jc w:val="both"/>
      </w:pPr>
      <w:r w:rsidRPr="00AB0BE6">
        <w:t>b.  Employer’s Liability.  Bodily Injury by:</w:t>
      </w:r>
    </w:p>
    <w:p w14:paraId="6F8D5154" w14:textId="77777777" w:rsidR="0098741D" w:rsidRPr="00AB0BE6" w:rsidRDefault="0098741D" w:rsidP="0098741D">
      <w:pPr>
        <w:pStyle w:val="NoSpacing"/>
        <w:ind w:left="1440"/>
      </w:pPr>
      <w:r w:rsidRPr="00AB0BE6">
        <w:t>Accident – Each accident</w:t>
      </w:r>
      <w:r w:rsidRPr="00AB0BE6">
        <w:tab/>
      </w:r>
      <w:r w:rsidRPr="00AB0BE6">
        <w:tab/>
      </w:r>
      <w:r w:rsidRPr="00AB0BE6">
        <w:tab/>
      </w:r>
      <w:r w:rsidRPr="00AB0BE6">
        <w:tab/>
      </w:r>
      <w:r w:rsidRPr="00AB0BE6">
        <w:tab/>
        <w:t xml:space="preserve"> </w:t>
      </w:r>
      <w:r>
        <w:t>$</w:t>
      </w:r>
      <w:r w:rsidRPr="00AB0BE6">
        <w:t>500,000</w:t>
      </w:r>
    </w:p>
    <w:p w14:paraId="1B76060B" w14:textId="77777777" w:rsidR="0098741D" w:rsidRPr="00AB0BE6" w:rsidRDefault="0098741D" w:rsidP="0098741D">
      <w:pPr>
        <w:pStyle w:val="NoSpacing"/>
        <w:ind w:left="1440"/>
      </w:pPr>
      <w:r w:rsidRPr="00AB0BE6">
        <w:t>Disease – Policy Limit</w:t>
      </w:r>
      <w:r w:rsidRPr="00AB0BE6">
        <w:tab/>
      </w:r>
      <w:r w:rsidRPr="00AB0BE6">
        <w:tab/>
      </w:r>
      <w:r w:rsidRPr="00AB0BE6">
        <w:tab/>
      </w:r>
      <w:r w:rsidRPr="00AB0BE6">
        <w:tab/>
      </w:r>
      <w:r w:rsidRPr="00AB0BE6">
        <w:tab/>
      </w:r>
      <w:proofErr w:type="gramStart"/>
      <w:r w:rsidRPr="00AB0BE6">
        <w:tab/>
        <w:t xml:space="preserve">  </w:t>
      </w:r>
      <w:r>
        <w:t>$</w:t>
      </w:r>
      <w:proofErr w:type="gramEnd"/>
      <w:r w:rsidRPr="00AB0BE6">
        <w:t>500,000</w:t>
      </w:r>
    </w:p>
    <w:p w14:paraId="19D297A9" w14:textId="77777777" w:rsidR="0098741D" w:rsidRPr="00AB0BE6" w:rsidRDefault="0098741D" w:rsidP="0098741D">
      <w:pPr>
        <w:pStyle w:val="NoSpacing"/>
        <w:ind w:left="1440"/>
      </w:pPr>
      <w:r w:rsidRPr="00AB0BE6">
        <w:t xml:space="preserve">Disease – Each Employee </w:t>
      </w:r>
      <w:r w:rsidRPr="00AB0BE6">
        <w:tab/>
      </w:r>
      <w:r w:rsidRPr="00AB0BE6">
        <w:tab/>
      </w:r>
      <w:r w:rsidRPr="00AB0BE6">
        <w:tab/>
      </w:r>
      <w:r w:rsidRPr="00AB0BE6">
        <w:tab/>
      </w:r>
      <w:r w:rsidRPr="00AB0BE6">
        <w:tab/>
      </w:r>
      <w:r>
        <w:t>$</w:t>
      </w:r>
      <w:r w:rsidRPr="00AB0BE6">
        <w:t>500,000</w:t>
      </w:r>
    </w:p>
    <w:p w14:paraId="3F10E2B2" w14:textId="77777777" w:rsidR="0098741D" w:rsidRPr="00AB0BE6" w:rsidRDefault="0098741D" w:rsidP="0098741D">
      <w:pPr>
        <w:pStyle w:val="NoSpacing"/>
      </w:pPr>
    </w:p>
    <w:p w14:paraId="05D59844" w14:textId="77777777" w:rsidR="0098741D" w:rsidRPr="00AB0BE6" w:rsidRDefault="0098741D" w:rsidP="0098741D">
      <w:pPr>
        <w:tabs>
          <w:tab w:val="left" w:pos="0"/>
        </w:tabs>
        <w:ind w:left="720"/>
        <w:jc w:val="both"/>
      </w:pPr>
      <w:r w:rsidRPr="00AB0BE6">
        <w:t>4.</w:t>
      </w:r>
      <w:r w:rsidRPr="00AB0BE6">
        <w:tab/>
        <w:t>Professional Liability –</w:t>
      </w:r>
    </w:p>
    <w:p w14:paraId="6E3F14C2" w14:textId="77777777" w:rsidR="0098741D" w:rsidRPr="00AB0BE6" w:rsidRDefault="0098741D" w:rsidP="0098741D">
      <w:pPr>
        <w:pStyle w:val="NoSpacing"/>
      </w:pPr>
      <w:r w:rsidRPr="00AB0BE6">
        <w:tab/>
      </w:r>
      <w:r w:rsidRPr="00AB0BE6">
        <w:tab/>
      </w:r>
      <w:r w:rsidRPr="00AB0BE6">
        <w:tab/>
        <w:t>Per Claim</w:t>
      </w:r>
      <w:r w:rsidRPr="00AB0BE6">
        <w:tab/>
      </w:r>
      <w:r w:rsidRPr="00AB0BE6">
        <w:tab/>
      </w:r>
      <w:r w:rsidRPr="00AB0BE6">
        <w:tab/>
      </w:r>
      <w:r w:rsidRPr="00AB0BE6">
        <w:tab/>
      </w:r>
      <w:r w:rsidRPr="00AB0BE6">
        <w:tab/>
      </w:r>
      <w:r w:rsidRPr="00AB0BE6">
        <w:tab/>
        <w:t xml:space="preserve"> </w:t>
      </w:r>
      <w:r>
        <w:t>$</w:t>
      </w:r>
      <w:r w:rsidRPr="00AB0BE6">
        <w:t>1,000,000</w:t>
      </w:r>
    </w:p>
    <w:p w14:paraId="050C4F31" w14:textId="77777777" w:rsidR="0098741D" w:rsidRPr="00AB0BE6" w:rsidRDefault="0098741D" w:rsidP="0098741D">
      <w:pPr>
        <w:pStyle w:val="NoSpacing"/>
      </w:pPr>
      <w:r w:rsidRPr="00AB0BE6">
        <w:tab/>
      </w:r>
      <w:r w:rsidRPr="00AB0BE6">
        <w:tab/>
      </w:r>
      <w:r w:rsidRPr="00AB0BE6">
        <w:tab/>
        <w:t>Aggregate</w:t>
      </w:r>
      <w:r w:rsidRPr="00AB0BE6">
        <w:tab/>
      </w:r>
      <w:r w:rsidRPr="00AB0BE6">
        <w:tab/>
      </w:r>
      <w:r w:rsidRPr="00AB0BE6">
        <w:tab/>
      </w:r>
      <w:r w:rsidRPr="00AB0BE6">
        <w:tab/>
      </w:r>
      <w:r w:rsidRPr="00AB0BE6">
        <w:tab/>
      </w:r>
      <w:r w:rsidRPr="00AB0BE6">
        <w:tab/>
        <w:t xml:space="preserve"> </w:t>
      </w:r>
      <w:r>
        <w:t>$</w:t>
      </w:r>
      <w:r w:rsidRPr="00AB0BE6">
        <w:t>2,000,000</w:t>
      </w:r>
    </w:p>
    <w:p w14:paraId="4446AFE4" w14:textId="77777777" w:rsidR="0098741D" w:rsidRPr="00AB0BE6" w:rsidRDefault="0098741D" w:rsidP="0098741D">
      <w:pPr>
        <w:tabs>
          <w:tab w:val="left" w:pos="0"/>
        </w:tabs>
        <w:ind w:left="720"/>
        <w:jc w:val="both"/>
      </w:pPr>
    </w:p>
    <w:p w14:paraId="66D6944B" w14:textId="77777777" w:rsidR="0098741D" w:rsidRPr="00AB0BE6" w:rsidRDefault="0098741D" w:rsidP="0098741D">
      <w:pPr>
        <w:tabs>
          <w:tab w:val="left" w:pos="0"/>
        </w:tabs>
        <w:ind w:left="720"/>
        <w:jc w:val="both"/>
      </w:pPr>
      <w:r w:rsidRPr="00AB0BE6">
        <w:t>5.</w:t>
      </w:r>
      <w:r w:rsidRPr="00AB0BE6">
        <w:tab/>
        <w:t xml:space="preserve">Pollution Liability – </w:t>
      </w:r>
    </w:p>
    <w:p w14:paraId="5103F29D" w14:textId="77777777" w:rsidR="0098741D" w:rsidRPr="00AB0BE6" w:rsidRDefault="0098741D" w:rsidP="0098741D">
      <w:pPr>
        <w:pStyle w:val="NoSpacing"/>
        <w:ind w:left="1440"/>
      </w:pPr>
      <w:r w:rsidRPr="00AB0BE6">
        <w:t>GRANTEE shall maintain or cause a project contractor</w:t>
      </w:r>
      <w:r w:rsidRPr="00AB0BE6">
        <w:tab/>
      </w:r>
      <w:r w:rsidRPr="00AB0BE6">
        <w:tab/>
        <w:t>$2,000,000</w:t>
      </w:r>
    </w:p>
    <w:p w14:paraId="1F7F440F" w14:textId="77777777" w:rsidR="0098741D" w:rsidRPr="00AB0BE6" w:rsidRDefault="0098741D" w:rsidP="0098741D">
      <w:pPr>
        <w:pStyle w:val="NoSpacing"/>
        <w:ind w:left="1440"/>
      </w:pPr>
      <w:r w:rsidRPr="00AB0BE6">
        <w:t xml:space="preserve"> to maintain pollution liability insurance that does not </w:t>
      </w:r>
    </w:p>
    <w:p w14:paraId="7062B0D0" w14:textId="77777777" w:rsidR="0098741D" w:rsidRPr="00AB0BE6" w:rsidRDefault="0098741D" w:rsidP="0098741D">
      <w:pPr>
        <w:pStyle w:val="NoSpacing"/>
        <w:ind w:left="1440"/>
      </w:pPr>
      <w:r w:rsidRPr="00AB0BE6">
        <w:t xml:space="preserve">exclude or limit coverage for mold, fungus, asbestos, </w:t>
      </w:r>
    </w:p>
    <w:p w14:paraId="152612B4" w14:textId="77777777" w:rsidR="0098741D" w:rsidRPr="00AB0BE6" w:rsidRDefault="0098741D" w:rsidP="0098741D">
      <w:pPr>
        <w:pStyle w:val="NoSpacing"/>
        <w:ind w:left="1440"/>
      </w:pPr>
      <w:r w:rsidRPr="00AB0BE6">
        <w:t xml:space="preserve">pollutants or other hazardous substances and with </w:t>
      </w:r>
    </w:p>
    <w:p w14:paraId="70A82FAC" w14:textId="77777777" w:rsidR="0098741D" w:rsidRPr="00AB0BE6" w:rsidRDefault="0098741D" w:rsidP="0098741D">
      <w:pPr>
        <w:pStyle w:val="NoSpacing"/>
        <w:ind w:left="1440"/>
      </w:pPr>
      <w:r w:rsidRPr="00AB0BE6">
        <w:t>a minimum aggregate amount of $2,000,000.</w:t>
      </w:r>
    </w:p>
    <w:p w14:paraId="7F39C0BB" w14:textId="77777777" w:rsidR="0098741D" w:rsidRPr="00AB0BE6" w:rsidRDefault="0098741D" w:rsidP="0098741D">
      <w:pPr>
        <w:tabs>
          <w:tab w:val="left" w:pos="0"/>
        </w:tabs>
        <w:ind w:left="720"/>
        <w:jc w:val="both"/>
      </w:pPr>
    </w:p>
    <w:p w14:paraId="65A3D1D3" w14:textId="77777777" w:rsidR="0098741D" w:rsidRPr="00AB0BE6" w:rsidRDefault="0098741D" w:rsidP="0098741D">
      <w:pPr>
        <w:ind w:left="720"/>
        <w:jc w:val="both"/>
        <w:rPr>
          <w:sz w:val="24"/>
          <w:szCs w:val="24"/>
        </w:rPr>
      </w:pPr>
      <w:r w:rsidRPr="00AB0BE6">
        <w:rPr>
          <w:sz w:val="24"/>
          <w:szCs w:val="24"/>
        </w:rPr>
        <w:t xml:space="preserve">An umbrella or excess policy is an acceptable method to provide the required commercial general or automobile insurance coverage.  </w:t>
      </w:r>
    </w:p>
    <w:p w14:paraId="58B56A49" w14:textId="77777777" w:rsidR="0098741D" w:rsidRPr="00AB0BE6" w:rsidRDefault="0098741D" w:rsidP="0098741D">
      <w:pPr>
        <w:ind w:firstLine="720"/>
        <w:jc w:val="both"/>
        <w:rPr>
          <w:sz w:val="24"/>
          <w:szCs w:val="24"/>
        </w:rPr>
      </w:pPr>
      <w:r w:rsidRPr="00AB0BE6">
        <w:rPr>
          <w:sz w:val="24"/>
          <w:szCs w:val="24"/>
        </w:rPr>
        <w:t xml:space="preserve">Coverage shall not include any exclusion or other limitations related to: </w:t>
      </w:r>
    </w:p>
    <w:p w14:paraId="42BB5C2B" w14:textId="77777777" w:rsidR="0098741D" w:rsidRPr="00AB0BE6" w:rsidRDefault="0098741D" w:rsidP="0098741D">
      <w:pPr>
        <w:jc w:val="both"/>
        <w:rPr>
          <w:sz w:val="24"/>
          <w:szCs w:val="24"/>
        </w:rPr>
      </w:pPr>
    </w:p>
    <w:p w14:paraId="28CBBBCF" w14:textId="77777777" w:rsidR="0098741D" w:rsidRPr="00AB0BE6" w:rsidRDefault="0098741D" w:rsidP="0098741D">
      <w:pPr>
        <w:pStyle w:val="NoSpacing"/>
        <w:ind w:left="720"/>
      </w:pPr>
      <w:r w:rsidRPr="00AB0BE6">
        <w:t>(1)</w:t>
      </w:r>
      <w:r w:rsidRPr="00AB0BE6">
        <w:tab/>
        <w:t xml:space="preserve">Scope of activities under this Agreement; </w:t>
      </w:r>
    </w:p>
    <w:p w14:paraId="2AF0B40A" w14:textId="77777777" w:rsidR="0098741D" w:rsidRPr="00AB0BE6" w:rsidRDefault="0098741D" w:rsidP="0098741D">
      <w:pPr>
        <w:pStyle w:val="NoSpacing"/>
        <w:ind w:left="720"/>
      </w:pPr>
      <w:r w:rsidRPr="00AB0BE6">
        <w:t>(2)</w:t>
      </w:r>
      <w:r w:rsidRPr="00AB0BE6">
        <w:tab/>
        <w:t>Delays in Project completion and cost overruns; or</w:t>
      </w:r>
    </w:p>
    <w:p w14:paraId="6F37B42E" w14:textId="77777777" w:rsidR="0098741D" w:rsidRPr="00AB0BE6" w:rsidRDefault="0098741D" w:rsidP="0098741D">
      <w:pPr>
        <w:pStyle w:val="NoSpacing"/>
        <w:ind w:left="720"/>
      </w:pPr>
      <w:r w:rsidRPr="00AB0BE6">
        <w:t>(3)</w:t>
      </w:r>
      <w:r w:rsidRPr="00AB0BE6">
        <w:tab/>
        <w:t>Persons or entities authorized to notify the carrier of a claim or potential claims.</w:t>
      </w:r>
    </w:p>
    <w:p w14:paraId="47082CAA" w14:textId="77777777" w:rsidR="0098741D" w:rsidRDefault="0098741D" w:rsidP="0098741D">
      <w:pPr>
        <w:pStyle w:val="ListParagraph"/>
        <w:tabs>
          <w:tab w:val="left" w:pos="0"/>
        </w:tabs>
        <w:ind w:left="1080"/>
      </w:pPr>
    </w:p>
    <w:p w14:paraId="1FA65B96" w14:textId="77777777" w:rsidR="0098741D" w:rsidRDefault="0098741D" w:rsidP="0098741D">
      <w:pPr>
        <w:pStyle w:val="ListParagraph"/>
        <w:spacing w:after="0" w:line="240" w:lineRule="auto"/>
        <w:ind w:left="1080" w:hanging="630"/>
        <w:jc w:val="both"/>
        <w:rPr>
          <w:rFonts w:ascii="Calibri" w:eastAsia="Times New Roman" w:hAnsi="Calibri" w:cs="Calibri"/>
          <w:b/>
          <w:bCs/>
          <w:u w:val="single"/>
        </w:rPr>
      </w:pPr>
      <w:r w:rsidRPr="00897163">
        <w:rPr>
          <w:rFonts w:ascii="Calibri" w:eastAsia="Times New Roman" w:hAnsi="Calibri" w:cs="Calibri"/>
          <w:b/>
          <w:bCs/>
          <w:u w:val="single"/>
        </w:rPr>
        <w:t>PROJECT-SPECIFIC ADMINISTRATIVE REQUIREMENTS:</w:t>
      </w:r>
    </w:p>
    <w:p w14:paraId="4C145D90" w14:textId="77777777" w:rsidR="0098741D" w:rsidRDefault="0098741D" w:rsidP="0098741D">
      <w:pPr>
        <w:pStyle w:val="ListParagraph"/>
        <w:spacing w:after="0" w:line="240" w:lineRule="auto"/>
        <w:ind w:left="1080" w:hanging="630"/>
        <w:jc w:val="both"/>
        <w:rPr>
          <w:rFonts w:ascii="Calibri" w:eastAsia="Times New Roman" w:hAnsi="Calibri" w:cs="Calibri"/>
          <w:b/>
          <w:bCs/>
          <w:u w:val="single"/>
        </w:rPr>
      </w:pPr>
    </w:p>
    <w:p w14:paraId="44562F82" w14:textId="77777777" w:rsidR="0098741D" w:rsidRDefault="0098741D" w:rsidP="0098741D">
      <w:pPr>
        <w:pStyle w:val="ListParagraph"/>
        <w:numPr>
          <w:ilvl w:val="0"/>
          <w:numId w:val="2"/>
        </w:numPr>
        <w:spacing w:after="0" w:line="240" w:lineRule="auto"/>
        <w:jc w:val="both"/>
        <w:rPr>
          <w:rFonts w:ascii="Calibri" w:eastAsia="Times New Roman" w:hAnsi="Calibri" w:cs="Calibri"/>
        </w:rPr>
      </w:pPr>
      <w:r>
        <w:rPr>
          <w:rFonts w:ascii="Calibri" w:eastAsia="Times New Roman" w:hAnsi="Calibri" w:cs="Calibri"/>
        </w:rPr>
        <w:t>Only project applications that use the updated (10/1/2024) application form will be accepted.  Please delete all outdated application templates.   Here is the link to the updated application form:</w:t>
      </w:r>
    </w:p>
    <w:p w14:paraId="39697208" w14:textId="77777777" w:rsidR="0098741D" w:rsidRDefault="0098741D" w:rsidP="0098741D">
      <w:pPr>
        <w:pStyle w:val="ListParagraph"/>
        <w:spacing w:after="0" w:line="240" w:lineRule="auto"/>
        <w:ind w:left="1080"/>
        <w:jc w:val="both"/>
        <w:rPr>
          <w:rFonts w:ascii="Calibri" w:eastAsia="Times New Roman" w:hAnsi="Calibri" w:cs="Calibri"/>
        </w:rPr>
      </w:pPr>
    </w:p>
    <w:p w14:paraId="1D4874A6" w14:textId="77777777" w:rsidR="0098741D" w:rsidRDefault="0098741D" w:rsidP="0098741D">
      <w:pPr>
        <w:pStyle w:val="ListParagraph"/>
        <w:spacing w:after="0" w:line="240" w:lineRule="auto"/>
        <w:ind w:left="1440"/>
        <w:jc w:val="both"/>
        <w:rPr>
          <w:rFonts w:ascii="Calibri" w:eastAsia="Times New Roman" w:hAnsi="Calibri" w:cs="Calibri"/>
        </w:rPr>
      </w:pPr>
      <w:hyperlink r:id="rId8" w:anchor="033973826dfc" w:history="1">
        <w:r w:rsidRPr="00EE5E6F">
          <w:rPr>
            <w:rStyle w:val="Hyperlink"/>
            <w:rFonts w:ascii="Calibri" w:eastAsia="Times New Roman" w:hAnsi="Calibri" w:cs="Calibri"/>
          </w:rPr>
          <w:t>Hennepin County GAP Financing Program (mnbrownfields.org)</w:t>
        </w:r>
      </w:hyperlink>
    </w:p>
    <w:p w14:paraId="7FAFD2AD" w14:textId="77777777" w:rsidR="0098741D" w:rsidRDefault="0098741D" w:rsidP="0098741D">
      <w:pPr>
        <w:pStyle w:val="ListParagraph"/>
        <w:spacing w:after="0" w:line="240" w:lineRule="auto"/>
        <w:ind w:left="1440"/>
        <w:jc w:val="both"/>
        <w:rPr>
          <w:rFonts w:ascii="Calibri" w:eastAsia="Times New Roman" w:hAnsi="Calibri" w:cs="Calibri"/>
        </w:rPr>
      </w:pPr>
    </w:p>
    <w:p w14:paraId="74D04C80" w14:textId="4AC7469A" w:rsidR="0063796B" w:rsidRDefault="0063796B" w:rsidP="0098741D">
      <w:pPr>
        <w:pStyle w:val="ListParagraph"/>
        <w:numPr>
          <w:ilvl w:val="0"/>
          <w:numId w:val="2"/>
        </w:numPr>
        <w:spacing w:after="0" w:line="240" w:lineRule="auto"/>
        <w:jc w:val="both"/>
        <w:rPr>
          <w:rFonts w:ascii="Calibri" w:eastAsia="Times New Roman" w:hAnsi="Calibri" w:cs="Calibri"/>
        </w:rPr>
      </w:pPr>
      <w:r>
        <w:rPr>
          <w:rFonts w:ascii="Calibri" w:eastAsia="Times New Roman" w:hAnsi="Calibri" w:cs="Calibri"/>
        </w:rPr>
        <w:t>All project proposals must include a detailed Time and Materials Budget; Lump-sum will not be accepted.</w:t>
      </w:r>
    </w:p>
    <w:p w14:paraId="4601B69C" w14:textId="77777777" w:rsidR="0063796B" w:rsidRDefault="0063796B" w:rsidP="0063796B">
      <w:pPr>
        <w:pStyle w:val="ListParagraph"/>
        <w:spacing w:after="0" w:line="240" w:lineRule="auto"/>
        <w:ind w:left="1080"/>
        <w:jc w:val="both"/>
        <w:rPr>
          <w:rFonts w:ascii="Calibri" w:eastAsia="Times New Roman" w:hAnsi="Calibri" w:cs="Calibri"/>
        </w:rPr>
      </w:pPr>
    </w:p>
    <w:p w14:paraId="173236E7" w14:textId="6E52AD53" w:rsidR="0098741D" w:rsidRDefault="0098741D" w:rsidP="0098741D">
      <w:pPr>
        <w:pStyle w:val="ListParagraph"/>
        <w:numPr>
          <w:ilvl w:val="0"/>
          <w:numId w:val="2"/>
        </w:numPr>
        <w:spacing w:after="0" w:line="240" w:lineRule="auto"/>
        <w:jc w:val="both"/>
        <w:rPr>
          <w:rFonts w:ascii="Calibri" w:eastAsia="Times New Roman" w:hAnsi="Calibri" w:cs="Calibri"/>
        </w:rPr>
      </w:pPr>
      <w:r>
        <w:rPr>
          <w:rFonts w:ascii="Calibri" w:eastAsia="Times New Roman" w:hAnsi="Calibri" w:cs="Calibri"/>
        </w:rPr>
        <w:t>Minnesota Brownfields will assign a Project Name at the time the project budget is approved.  THIS PROJECT NAME MUST BE USED ON ALL SUBSEQUENT INVOICES AND REPORTING.  Use of another project name may result in payment delays.</w:t>
      </w:r>
    </w:p>
    <w:p w14:paraId="7C70FFBA" w14:textId="77777777" w:rsidR="0098741D" w:rsidRPr="00EE5E6F" w:rsidRDefault="0098741D" w:rsidP="0098741D">
      <w:pPr>
        <w:pStyle w:val="ListParagraph"/>
        <w:spacing w:after="0" w:line="240" w:lineRule="auto"/>
        <w:ind w:left="1080"/>
        <w:jc w:val="both"/>
        <w:rPr>
          <w:rFonts w:ascii="Calibri" w:eastAsia="Times New Roman" w:hAnsi="Calibri" w:cs="Calibri"/>
        </w:rPr>
      </w:pPr>
    </w:p>
    <w:p w14:paraId="160F6B2C" w14:textId="77777777" w:rsidR="0098741D" w:rsidRPr="00D21A8C" w:rsidRDefault="0098741D" w:rsidP="0098741D">
      <w:pPr>
        <w:pStyle w:val="ListParagraph"/>
        <w:numPr>
          <w:ilvl w:val="0"/>
          <w:numId w:val="2"/>
        </w:numPr>
        <w:spacing w:after="0" w:line="240" w:lineRule="auto"/>
        <w:jc w:val="both"/>
        <w:rPr>
          <w:rFonts w:ascii="Calibri" w:eastAsia="Times New Roman" w:hAnsi="Calibri" w:cs="Calibri"/>
          <w:b/>
          <w:bCs/>
        </w:rPr>
      </w:pPr>
      <w:r w:rsidRPr="00D21A8C">
        <w:rPr>
          <w:rFonts w:ascii="Calibri" w:eastAsia="Times New Roman" w:hAnsi="Calibri" w:cs="Calibri"/>
          <w:b/>
          <w:bCs/>
        </w:rPr>
        <w:t xml:space="preserve">Invoices will only be accepted at the following Email address:  </w:t>
      </w:r>
      <w:hyperlink r:id="rId9" w:history="1">
        <w:r w:rsidRPr="00D21A8C">
          <w:rPr>
            <w:rStyle w:val="Hyperlink"/>
            <w:rFonts w:ascii="Calibri" w:eastAsia="Times New Roman" w:hAnsi="Calibri" w:cs="Calibri"/>
            <w:b/>
            <w:bCs/>
            <w:color w:val="auto"/>
          </w:rPr>
          <w:t>grants@mnbrownfields.org</w:t>
        </w:r>
      </w:hyperlink>
      <w:r w:rsidRPr="00D21A8C">
        <w:rPr>
          <w:rFonts w:ascii="Calibri" w:eastAsia="Times New Roman" w:hAnsi="Calibri" w:cs="Calibri"/>
          <w:b/>
          <w:bCs/>
        </w:rPr>
        <w:t xml:space="preserve">.  This account is monitored closely and best ensures that invoices will be processed in a timely manner.  </w:t>
      </w:r>
      <w:r w:rsidRPr="00D21A8C">
        <w:rPr>
          <w:rFonts w:ascii="Calibri" w:eastAsia="Times New Roman" w:hAnsi="Calibri" w:cs="Calibri"/>
          <w:b/>
          <w:bCs/>
          <w:u w:val="single"/>
        </w:rPr>
        <w:t xml:space="preserve">Do not send invoices to individual Email accounts.  </w:t>
      </w:r>
    </w:p>
    <w:p w14:paraId="688F4056" w14:textId="77777777" w:rsidR="0098741D" w:rsidRPr="00DA5439" w:rsidRDefault="0098741D" w:rsidP="0098741D">
      <w:pPr>
        <w:spacing w:after="0" w:line="240" w:lineRule="auto"/>
        <w:jc w:val="both"/>
        <w:rPr>
          <w:rFonts w:ascii="Calibri" w:eastAsia="Times New Roman" w:hAnsi="Calibri" w:cs="Calibri"/>
        </w:rPr>
      </w:pPr>
    </w:p>
    <w:p w14:paraId="5AA41CC6" w14:textId="77777777" w:rsidR="0098741D" w:rsidRDefault="0098741D" w:rsidP="0098741D">
      <w:pPr>
        <w:pStyle w:val="ListParagraph"/>
        <w:numPr>
          <w:ilvl w:val="0"/>
          <w:numId w:val="2"/>
        </w:numPr>
        <w:spacing w:after="0" w:line="240" w:lineRule="auto"/>
        <w:jc w:val="both"/>
        <w:rPr>
          <w:rFonts w:ascii="Calibri" w:eastAsia="Times New Roman" w:hAnsi="Calibri" w:cs="Calibri"/>
        </w:rPr>
      </w:pPr>
      <w:r w:rsidRPr="00066248">
        <w:rPr>
          <w:rFonts w:ascii="Calibri" w:eastAsia="Times New Roman" w:hAnsi="Calibri" w:cs="Calibri"/>
        </w:rPr>
        <w:t>All submitted invoices must include:</w:t>
      </w:r>
    </w:p>
    <w:p w14:paraId="64F0C998" w14:textId="77777777" w:rsidR="0098741D" w:rsidRPr="00EE5E6F" w:rsidRDefault="0098741D" w:rsidP="0098741D">
      <w:pPr>
        <w:spacing w:after="0" w:line="240" w:lineRule="auto"/>
        <w:jc w:val="both"/>
        <w:rPr>
          <w:rFonts w:ascii="Calibri" w:eastAsia="Times New Roman" w:hAnsi="Calibri" w:cs="Calibri"/>
        </w:rPr>
      </w:pPr>
    </w:p>
    <w:p w14:paraId="0472BB1E" w14:textId="77777777" w:rsidR="0098741D" w:rsidRDefault="0098741D" w:rsidP="0098741D">
      <w:pPr>
        <w:pStyle w:val="ListParagraph"/>
        <w:numPr>
          <w:ilvl w:val="0"/>
          <w:numId w:val="3"/>
        </w:numPr>
        <w:spacing w:after="0" w:line="240" w:lineRule="auto"/>
        <w:jc w:val="both"/>
        <w:rPr>
          <w:rFonts w:ascii="Calibri" w:eastAsia="Times New Roman" w:hAnsi="Calibri" w:cs="Calibri"/>
        </w:rPr>
      </w:pPr>
      <w:r>
        <w:rPr>
          <w:rFonts w:ascii="Calibri" w:eastAsia="Times New Roman" w:hAnsi="Calibri" w:cs="Calibri"/>
        </w:rPr>
        <w:t>Assigned Project Name</w:t>
      </w:r>
    </w:p>
    <w:p w14:paraId="40811AC8" w14:textId="77777777" w:rsidR="0098741D" w:rsidRDefault="0098741D" w:rsidP="0098741D">
      <w:pPr>
        <w:pStyle w:val="ListParagraph"/>
        <w:numPr>
          <w:ilvl w:val="0"/>
          <w:numId w:val="3"/>
        </w:numPr>
        <w:spacing w:after="0" w:line="240" w:lineRule="auto"/>
        <w:jc w:val="both"/>
        <w:rPr>
          <w:rFonts w:ascii="Calibri" w:eastAsia="Times New Roman" w:hAnsi="Calibri" w:cs="Calibri"/>
        </w:rPr>
      </w:pPr>
      <w:r>
        <w:rPr>
          <w:rFonts w:ascii="Calibri" w:eastAsia="Times New Roman" w:hAnsi="Calibri" w:cs="Calibri"/>
        </w:rPr>
        <w:t xml:space="preserve">Point of Contact with phone and Email </w:t>
      </w:r>
    </w:p>
    <w:p w14:paraId="33ED3CEE" w14:textId="77777777" w:rsidR="0098741D" w:rsidRDefault="0098741D" w:rsidP="0098741D">
      <w:pPr>
        <w:pStyle w:val="ListParagraph"/>
        <w:numPr>
          <w:ilvl w:val="0"/>
          <w:numId w:val="3"/>
        </w:numPr>
        <w:spacing w:after="0" w:line="240" w:lineRule="auto"/>
        <w:jc w:val="both"/>
        <w:rPr>
          <w:rFonts w:ascii="Calibri" w:eastAsia="Times New Roman" w:hAnsi="Calibri" w:cs="Calibri"/>
        </w:rPr>
      </w:pPr>
      <w:r>
        <w:rPr>
          <w:rFonts w:ascii="Calibri" w:eastAsia="Times New Roman" w:hAnsi="Calibri" w:cs="Calibri"/>
        </w:rPr>
        <w:t xml:space="preserve">Notation of sequence of invoices, I.e., Current, Past, etc.  </w:t>
      </w:r>
    </w:p>
    <w:p w14:paraId="2F473ADF" w14:textId="77777777" w:rsidR="0098741D" w:rsidRDefault="0098741D" w:rsidP="0098741D">
      <w:pPr>
        <w:pStyle w:val="ListParagraph"/>
        <w:numPr>
          <w:ilvl w:val="0"/>
          <w:numId w:val="3"/>
        </w:numPr>
        <w:spacing w:after="0" w:line="240" w:lineRule="auto"/>
        <w:jc w:val="both"/>
        <w:rPr>
          <w:rFonts w:ascii="Calibri" w:eastAsia="Times New Roman" w:hAnsi="Calibri" w:cs="Calibri"/>
        </w:rPr>
      </w:pPr>
      <w:r>
        <w:rPr>
          <w:rFonts w:ascii="Calibri" w:eastAsia="Times New Roman" w:hAnsi="Calibri" w:cs="Calibri"/>
        </w:rPr>
        <w:t>Final invoice must note that it is the FINAL submitted for the project.</w:t>
      </w:r>
    </w:p>
    <w:p w14:paraId="5AAA50A1" w14:textId="77777777" w:rsidR="0098741D" w:rsidRDefault="0098741D" w:rsidP="0098741D">
      <w:pPr>
        <w:pStyle w:val="ListParagraph"/>
        <w:spacing w:after="0" w:line="240" w:lineRule="auto"/>
        <w:ind w:left="1530"/>
        <w:jc w:val="both"/>
        <w:rPr>
          <w:rFonts w:ascii="Calibri" w:eastAsia="Times New Roman" w:hAnsi="Calibri" w:cs="Calibri"/>
        </w:rPr>
      </w:pPr>
    </w:p>
    <w:p w14:paraId="52E4259A" w14:textId="77777777" w:rsidR="0098741D" w:rsidRDefault="0098741D" w:rsidP="0098741D">
      <w:pPr>
        <w:pStyle w:val="ListParagraph"/>
        <w:numPr>
          <w:ilvl w:val="0"/>
          <w:numId w:val="2"/>
        </w:numPr>
        <w:spacing w:after="0" w:line="240" w:lineRule="auto"/>
        <w:jc w:val="both"/>
        <w:rPr>
          <w:rFonts w:ascii="Calibri" w:eastAsia="Times New Roman" w:hAnsi="Calibri" w:cs="Calibri"/>
        </w:rPr>
      </w:pPr>
      <w:r>
        <w:rPr>
          <w:rFonts w:ascii="Calibri" w:eastAsia="Times New Roman" w:hAnsi="Calibri" w:cs="Calibri"/>
        </w:rPr>
        <w:t>Grant funds must be drawn down within nine (9) months of date of grant approval.  After that point, Minnesota Brownfields will close the project account.  Extenuating circumstances that require an account to remain open beyond this expiration date (for example, seasonal vapor monitoring) must be requested in writing and approved in advance of that date.</w:t>
      </w:r>
    </w:p>
    <w:p w14:paraId="15835B1E" w14:textId="77777777" w:rsidR="0098741D" w:rsidRDefault="0098741D" w:rsidP="0098741D">
      <w:pPr>
        <w:pStyle w:val="ListParagraph"/>
        <w:spacing w:after="0" w:line="240" w:lineRule="auto"/>
        <w:ind w:left="1080"/>
        <w:jc w:val="both"/>
        <w:rPr>
          <w:rFonts w:ascii="Calibri" w:eastAsia="Times New Roman" w:hAnsi="Calibri" w:cs="Calibri"/>
        </w:rPr>
      </w:pPr>
    </w:p>
    <w:p w14:paraId="6B4B3D07" w14:textId="77777777" w:rsidR="0098741D" w:rsidRDefault="0098741D" w:rsidP="0098741D">
      <w:pPr>
        <w:pStyle w:val="ListParagraph"/>
        <w:numPr>
          <w:ilvl w:val="0"/>
          <w:numId w:val="2"/>
        </w:numPr>
        <w:spacing w:after="0" w:line="240" w:lineRule="auto"/>
        <w:jc w:val="both"/>
        <w:rPr>
          <w:rFonts w:ascii="Calibri" w:eastAsia="Times New Roman" w:hAnsi="Calibri" w:cs="Calibri"/>
        </w:rPr>
      </w:pPr>
      <w:r>
        <w:rPr>
          <w:rFonts w:ascii="Calibri" w:eastAsia="Times New Roman" w:hAnsi="Calibri" w:cs="Calibri"/>
        </w:rPr>
        <w:t>Regarding Scope of Work</w:t>
      </w:r>
    </w:p>
    <w:p w14:paraId="4071190C" w14:textId="77777777" w:rsidR="0098741D" w:rsidRPr="00EE5E6F" w:rsidRDefault="0098741D" w:rsidP="0098741D">
      <w:pPr>
        <w:spacing w:after="0" w:line="240" w:lineRule="auto"/>
        <w:jc w:val="both"/>
        <w:rPr>
          <w:rFonts w:ascii="Calibri" w:eastAsia="Times New Roman" w:hAnsi="Calibri" w:cs="Calibri"/>
        </w:rPr>
      </w:pPr>
    </w:p>
    <w:p w14:paraId="4DDAC397" w14:textId="77777777" w:rsidR="0098741D" w:rsidRDefault="0098741D" w:rsidP="0098741D">
      <w:pPr>
        <w:pStyle w:val="ListParagraph"/>
        <w:numPr>
          <w:ilvl w:val="0"/>
          <w:numId w:val="4"/>
        </w:numPr>
        <w:spacing w:after="0" w:line="240" w:lineRule="auto"/>
        <w:jc w:val="both"/>
        <w:rPr>
          <w:rFonts w:ascii="Calibri" w:eastAsia="Times New Roman" w:hAnsi="Calibri" w:cs="Calibri"/>
        </w:rPr>
      </w:pPr>
      <w:r>
        <w:rPr>
          <w:rFonts w:ascii="Calibri" w:eastAsia="Times New Roman" w:hAnsi="Calibri" w:cs="Calibri"/>
        </w:rPr>
        <w:t>It is our expectation that approved contractors in the program will apply appropriate professional standards to the scope of cleanup activities in order to maximize the use of program funding.</w:t>
      </w:r>
    </w:p>
    <w:p w14:paraId="5C8E56B7" w14:textId="77777777" w:rsidR="0098741D" w:rsidRDefault="0098741D" w:rsidP="0098741D">
      <w:pPr>
        <w:pStyle w:val="ListParagraph"/>
        <w:numPr>
          <w:ilvl w:val="0"/>
          <w:numId w:val="4"/>
        </w:numPr>
        <w:spacing w:after="0" w:line="240" w:lineRule="auto"/>
        <w:jc w:val="both"/>
        <w:rPr>
          <w:rFonts w:ascii="Calibri" w:eastAsia="Times New Roman" w:hAnsi="Calibri" w:cs="Calibri"/>
        </w:rPr>
      </w:pPr>
      <w:r>
        <w:rPr>
          <w:rFonts w:ascii="Calibri" w:eastAsia="Times New Roman" w:hAnsi="Calibri" w:cs="Calibri"/>
        </w:rPr>
        <w:t>If you are requesting a second round of vapor sampling, provide documentation that it is required.</w:t>
      </w:r>
    </w:p>
    <w:p w14:paraId="5BA182AB" w14:textId="77777777" w:rsidR="0098741D" w:rsidRPr="00D21A8C" w:rsidRDefault="0098741D" w:rsidP="0098741D">
      <w:pPr>
        <w:pStyle w:val="ListParagraph"/>
        <w:numPr>
          <w:ilvl w:val="0"/>
          <w:numId w:val="4"/>
        </w:numPr>
        <w:spacing w:after="0" w:line="240" w:lineRule="auto"/>
        <w:jc w:val="both"/>
        <w:rPr>
          <w:rFonts w:ascii="Calibri" w:eastAsia="Times New Roman" w:hAnsi="Calibri" w:cs="Calibri"/>
          <w:b/>
          <w:bCs/>
        </w:rPr>
      </w:pPr>
      <w:r w:rsidRPr="00D21A8C">
        <w:rPr>
          <w:rFonts w:ascii="Calibri" w:eastAsia="Times New Roman" w:hAnsi="Calibri" w:cs="Calibri"/>
          <w:b/>
          <w:bCs/>
        </w:rPr>
        <w:t>Please note that consultants are allowed a 10% mark-up for subcontractor work, any mark-up higher than 10% will not be eligible for reimbursement.</w:t>
      </w:r>
    </w:p>
    <w:p w14:paraId="5E1ED24E" w14:textId="77777777" w:rsidR="0098741D" w:rsidRPr="00D21A8C" w:rsidRDefault="0098741D" w:rsidP="0098741D">
      <w:pPr>
        <w:pStyle w:val="ListParagraph"/>
        <w:numPr>
          <w:ilvl w:val="0"/>
          <w:numId w:val="4"/>
        </w:numPr>
        <w:spacing w:after="0" w:line="240" w:lineRule="auto"/>
        <w:jc w:val="both"/>
        <w:rPr>
          <w:rFonts w:ascii="Calibri" w:eastAsia="Times New Roman" w:hAnsi="Calibri" w:cs="Calibri"/>
          <w:b/>
          <w:bCs/>
        </w:rPr>
      </w:pPr>
      <w:r w:rsidRPr="00D21A8C">
        <w:rPr>
          <w:rFonts w:ascii="Calibri" w:eastAsia="Times New Roman" w:hAnsi="Calibri" w:cs="Calibri"/>
          <w:b/>
          <w:bCs/>
        </w:rPr>
        <w:t>The consultant invoice must list each subcontractor separately</w:t>
      </w:r>
    </w:p>
    <w:p w14:paraId="5F76E1A9" w14:textId="77777777" w:rsidR="0098741D" w:rsidRPr="00D21A8C" w:rsidRDefault="0098741D" w:rsidP="0098741D">
      <w:pPr>
        <w:pStyle w:val="ListParagraph"/>
        <w:numPr>
          <w:ilvl w:val="0"/>
          <w:numId w:val="4"/>
        </w:numPr>
        <w:spacing w:after="0" w:line="240" w:lineRule="auto"/>
        <w:jc w:val="both"/>
        <w:rPr>
          <w:rFonts w:ascii="Calibri" w:eastAsia="Times New Roman" w:hAnsi="Calibri" w:cs="Calibri"/>
          <w:b/>
          <w:bCs/>
        </w:rPr>
      </w:pPr>
      <w:r w:rsidRPr="00D21A8C">
        <w:rPr>
          <w:rFonts w:ascii="Calibri" w:eastAsia="Times New Roman" w:hAnsi="Calibri" w:cs="Calibri"/>
          <w:b/>
          <w:bCs/>
        </w:rPr>
        <w:t>The consultant invoice MUST have each subcontractor’s invoice attached.</w:t>
      </w:r>
    </w:p>
    <w:p w14:paraId="6EBBFCBD" w14:textId="77777777" w:rsidR="0098741D" w:rsidRPr="00DA5439" w:rsidRDefault="0098741D" w:rsidP="0098741D">
      <w:pPr>
        <w:pStyle w:val="ListParagraph"/>
        <w:spacing w:after="0" w:line="240" w:lineRule="auto"/>
        <w:ind w:left="1800"/>
        <w:jc w:val="both"/>
        <w:rPr>
          <w:rFonts w:ascii="Calibri" w:eastAsia="Times New Roman" w:hAnsi="Calibri" w:cs="Calibri"/>
        </w:rPr>
      </w:pPr>
    </w:p>
    <w:p w14:paraId="3CDBD187" w14:textId="77777777" w:rsidR="0098741D" w:rsidRDefault="0098741D" w:rsidP="0098741D">
      <w:pPr>
        <w:pStyle w:val="ListParagraph"/>
        <w:numPr>
          <w:ilvl w:val="0"/>
          <w:numId w:val="2"/>
        </w:numPr>
        <w:spacing w:after="0" w:line="240" w:lineRule="auto"/>
        <w:jc w:val="both"/>
        <w:rPr>
          <w:rFonts w:ascii="Calibri" w:eastAsia="Times New Roman" w:hAnsi="Calibri" w:cs="Calibri"/>
        </w:rPr>
      </w:pPr>
      <w:r>
        <w:rPr>
          <w:rFonts w:ascii="Calibri" w:eastAsia="Times New Roman" w:hAnsi="Calibri" w:cs="Calibri"/>
        </w:rPr>
        <w:t>Minnesota Brownfields submits a monthly Disbursement Request to Hennepin County no less than monthly and typically twice a month. To ensure that your invoices are included in the monthly Disbursement Request, it is critical that invoices are submitted with complete documentation necessary to process.   This includes subcontractor invoices REMEMBER THAT THERE IS AN AVERAGE THREE-WEEK GAP BETWEEN THE DISBURSEMENT REQUEST AND YOUR RECEIPT OF THE FUNDS.    Plan accordingly.</w:t>
      </w:r>
    </w:p>
    <w:p w14:paraId="5801ED0D" w14:textId="77777777" w:rsidR="0098741D" w:rsidRPr="00685B43" w:rsidRDefault="0098741D" w:rsidP="0098741D">
      <w:pPr>
        <w:pStyle w:val="ListParagraph"/>
        <w:rPr>
          <w:rFonts w:ascii="Calibri" w:eastAsia="Times New Roman" w:hAnsi="Calibri" w:cs="Calibri"/>
        </w:rPr>
      </w:pPr>
    </w:p>
    <w:p w14:paraId="27E32C36" w14:textId="71F863C6" w:rsidR="005700F5" w:rsidRDefault="0098741D" w:rsidP="005700F5">
      <w:pPr>
        <w:pStyle w:val="ListParagraph"/>
        <w:numPr>
          <w:ilvl w:val="0"/>
          <w:numId w:val="2"/>
        </w:numPr>
        <w:spacing w:after="0" w:line="240" w:lineRule="auto"/>
        <w:jc w:val="both"/>
        <w:rPr>
          <w:rFonts w:ascii="Calibri" w:eastAsia="Times New Roman" w:hAnsi="Calibri" w:cs="Calibri"/>
        </w:rPr>
      </w:pPr>
      <w:r w:rsidRPr="00F5635C">
        <w:rPr>
          <w:rFonts w:ascii="Calibri" w:eastAsia="Times New Roman" w:hAnsi="Calibri" w:cs="Calibri"/>
        </w:rPr>
        <w:t>202</w:t>
      </w:r>
      <w:r>
        <w:rPr>
          <w:rFonts w:ascii="Calibri" w:eastAsia="Times New Roman" w:hAnsi="Calibri" w:cs="Calibri"/>
        </w:rPr>
        <w:t>4</w:t>
      </w:r>
      <w:r w:rsidRPr="00F5635C">
        <w:rPr>
          <w:rFonts w:ascii="Calibri" w:eastAsia="Times New Roman" w:hAnsi="Calibri" w:cs="Calibri"/>
        </w:rPr>
        <w:t xml:space="preserve"> IRS mileage rate is</w:t>
      </w:r>
      <w:r>
        <w:rPr>
          <w:rFonts w:ascii="Calibri" w:eastAsia="Times New Roman" w:hAnsi="Calibri" w:cs="Calibri"/>
        </w:rPr>
        <w:t>: .70 per mile</w:t>
      </w:r>
      <w:r w:rsidR="005700F5">
        <w:rPr>
          <w:rFonts w:ascii="Calibri" w:eastAsia="Times New Roman" w:hAnsi="Calibri" w:cs="Calibri"/>
        </w:rPr>
        <w:t>. The 2026 IRS mileage rate will go into effect for work performed on and after 1/1/2026.</w:t>
      </w:r>
    </w:p>
    <w:p w14:paraId="7BF2E3B6" w14:textId="77777777" w:rsidR="0098741D" w:rsidRPr="00150D6F" w:rsidRDefault="0098741D" w:rsidP="0098741D">
      <w:pPr>
        <w:rPr>
          <w:rFonts w:ascii="Calibri" w:eastAsia="Times New Roman" w:hAnsi="Calibri" w:cs="Calibri"/>
        </w:rPr>
      </w:pPr>
    </w:p>
    <w:p w14:paraId="3016BCA5" w14:textId="77777777" w:rsidR="0098741D" w:rsidRPr="00D75D65" w:rsidRDefault="0098741D" w:rsidP="0098741D">
      <w:pPr>
        <w:pStyle w:val="ListParagraph"/>
        <w:numPr>
          <w:ilvl w:val="0"/>
          <w:numId w:val="2"/>
        </w:numPr>
        <w:spacing w:after="0" w:line="240" w:lineRule="auto"/>
        <w:jc w:val="both"/>
        <w:rPr>
          <w:rFonts w:ascii="Calibri" w:eastAsia="Times New Roman" w:hAnsi="Calibri" w:cs="Calibri"/>
          <w:b/>
          <w:bCs/>
        </w:rPr>
      </w:pPr>
      <w:r>
        <w:rPr>
          <w:rFonts w:ascii="Calibri" w:eastAsia="Times New Roman" w:hAnsi="Calibri" w:cs="Calibri"/>
        </w:rPr>
        <w:t xml:space="preserve">Specific </w:t>
      </w:r>
      <w:r w:rsidRPr="00EE5E6F">
        <w:rPr>
          <w:rFonts w:ascii="Calibri" w:eastAsia="Times New Roman" w:hAnsi="Calibri" w:cs="Calibri"/>
        </w:rPr>
        <w:t xml:space="preserve">questions about the BGFP, to include project-specific, should be directed to Heidi Timm-Bijold, Program Coordinator, at </w:t>
      </w:r>
      <w:hyperlink r:id="rId10" w:history="1">
        <w:r w:rsidRPr="00EE5E6F">
          <w:rPr>
            <w:rStyle w:val="Hyperlink"/>
            <w:rFonts w:ascii="Calibri" w:eastAsia="Times New Roman" w:hAnsi="Calibri" w:cs="Calibri"/>
          </w:rPr>
          <w:t>grants@mnbrownfields.org</w:t>
        </w:r>
      </w:hyperlink>
      <w:r w:rsidRPr="00EE5E6F">
        <w:rPr>
          <w:rFonts w:ascii="Calibri" w:eastAsia="Times New Roman" w:hAnsi="Calibri" w:cs="Calibri"/>
        </w:rPr>
        <w:t xml:space="preserve">.   </w:t>
      </w:r>
      <w:r w:rsidRPr="00D75D65">
        <w:rPr>
          <w:rFonts w:ascii="Calibri" w:eastAsia="Times New Roman" w:hAnsi="Calibri" w:cs="Calibri"/>
          <w:b/>
          <w:bCs/>
        </w:rPr>
        <w:t>PLEASE NOTE THAT THIS IS THE CORRECT EMAIL TO DIRECT CORRESPONDENCE TO.   PLEASE DO NOT SEND GRANT INQUIRIES TO PERSONAL EMAIL ACCOUNTS.</w:t>
      </w:r>
    </w:p>
    <w:p w14:paraId="734FE5C6" w14:textId="77777777" w:rsidR="0098741D" w:rsidRPr="00D75D65" w:rsidRDefault="0098741D" w:rsidP="0098741D">
      <w:pPr>
        <w:pStyle w:val="ListParagraph"/>
        <w:rPr>
          <w:rFonts w:ascii="Calibri" w:eastAsia="Times New Roman" w:hAnsi="Calibri" w:cs="Calibri"/>
          <w:b/>
          <w:bCs/>
        </w:rPr>
      </w:pPr>
    </w:p>
    <w:p w14:paraId="5B2EC2FB" w14:textId="77777777" w:rsidR="0098741D" w:rsidRPr="0097083E" w:rsidRDefault="0098741D" w:rsidP="0098741D">
      <w:pPr>
        <w:spacing w:after="0" w:line="240" w:lineRule="auto"/>
        <w:jc w:val="both"/>
        <w:rPr>
          <w:rFonts w:ascii="Calibri" w:eastAsia="Times New Roman" w:hAnsi="Calibri" w:cs="Calibri"/>
          <w:b/>
          <w:bCs/>
          <w:i/>
          <w:iCs/>
          <w:sz w:val="28"/>
          <w:szCs w:val="28"/>
        </w:rPr>
      </w:pPr>
      <w:r w:rsidRPr="0097083E">
        <w:rPr>
          <w:rFonts w:ascii="Calibri" w:eastAsia="Times New Roman" w:hAnsi="Calibri" w:cs="Calibri"/>
          <w:b/>
          <w:bCs/>
          <w:i/>
          <w:iCs/>
          <w:sz w:val="28"/>
          <w:szCs w:val="28"/>
        </w:rPr>
        <w:t xml:space="preserve">We appreciate our consultant partners and the clients you serve.  Hennepin County’s BRGF has invested </w:t>
      </w:r>
      <w:r w:rsidRPr="00EE5E6F">
        <w:rPr>
          <w:rFonts w:ascii="Calibri" w:eastAsia="Times New Roman" w:hAnsi="Calibri" w:cs="Calibri"/>
          <w:b/>
          <w:bCs/>
          <w:i/>
          <w:iCs/>
          <w:sz w:val="28"/>
          <w:szCs w:val="28"/>
        </w:rPr>
        <w:t>over $</w:t>
      </w:r>
      <w:r>
        <w:rPr>
          <w:rFonts w:ascii="Calibri" w:eastAsia="Times New Roman" w:hAnsi="Calibri" w:cs="Calibri"/>
          <w:b/>
          <w:bCs/>
          <w:i/>
          <w:iCs/>
          <w:sz w:val="28"/>
          <w:szCs w:val="28"/>
        </w:rPr>
        <w:t>2.4 million</w:t>
      </w:r>
      <w:r w:rsidRPr="00EE5E6F">
        <w:rPr>
          <w:rFonts w:ascii="Calibri" w:eastAsia="Times New Roman" w:hAnsi="Calibri" w:cs="Calibri"/>
          <w:b/>
          <w:bCs/>
          <w:i/>
          <w:iCs/>
          <w:sz w:val="28"/>
          <w:szCs w:val="28"/>
        </w:rPr>
        <w:t xml:space="preserve"> in</w:t>
      </w:r>
      <w:r w:rsidRPr="0097083E">
        <w:rPr>
          <w:rFonts w:ascii="Calibri" w:eastAsia="Times New Roman" w:hAnsi="Calibri" w:cs="Calibri"/>
          <w:b/>
          <w:bCs/>
          <w:i/>
          <w:iCs/>
          <w:sz w:val="28"/>
          <w:szCs w:val="28"/>
        </w:rPr>
        <w:t xml:space="preserve"> community projects in support of </w:t>
      </w:r>
      <w:r w:rsidRPr="0097083E">
        <w:rPr>
          <w:rFonts w:ascii="Calibri" w:eastAsia="Times New Roman" w:hAnsi="Calibri" w:cs="Calibri"/>
          <w:b/>
          <w:bCs/>
          <w:i/>
          <w:iCs/>
          <w:sz w:val="28"/>
          <w:szCs w:val="28"/>
        </w:rPr>
        <w:lastRenderedPageBreak/>
        <w:t>Affordable Housing, Commercial Redevelopment, Arts &amp; Culture, Open Space, and more.  Your adherence to the above-stated administrative policies will ensure that the program is administered efficiently and into our future!</w:t>
      </w:r>
    </w:p>
    <w:p w14:paraId="49EF1E80" w14:textId="77777777" w:rsidR="00A847B0" w:rsidRDefault="00A847B0"/>
    <w:sectPr w:rsidR="00A847B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730D" w14:textId="77777777" w:rsidR="003B14B3" w:rsidRDefault="003B14B3" w:rsidP="0098741D">
      <w:pPr>
        <w:spacing w:after="0" w:line="240" w:lineRule="auto"/>
      </w:pPr>
      <w:r>
        <w:separator/>
      </w:r>
    </w:p>
  </w:endnote>
  <w:endnote w:type="continuationSeparator" w:id="0">
    <w:p w14:paraId="377F124E" w14:textId="77777777" w:rsidR="003B14B3" w:rsidRDefault="003B14B3" w:rsidP="0098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118014"/>
      <w:docPartObj>
        <w:docPartGallery w:val="Page Numbers (Bottom of Page)"/>
        <w:docPartUnique/>
      </w:docPartObj>
    </w:sdtPr>
    <w:sdtEndPr/>
    <w:sdtContent>
      <w:p w14:paraId="35C73BEC" w14:textId="766CBCED" w:rsidR="0098741D" w:rsidRDefault="0098741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910349D" w14:textId="77777777" w:rsidR="0098741D" w:rsidRDefault="00987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A910" w14:textId="77777777" w:rsidR="003B14B3" w:rsidRDefault="003B14B3" w:rsidP="0098741D">
      <w:pPr>
        <w:spacing w:after="0" w:line="240" w:lineRule="auto"/>
      </w:pPr>
      <w:r>
        <w:separator/>
      </w:r>
    </w:p>
  </w:footnote>
  <w:footnote w:type="continuationSeparator" w:id="0">
    <w:p w14:paraId="2E51BE4D" w14:textId="77777777" w:rsidR="003B14B3" w:rsidRDefault="003B14B3" w:rsidP="00987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2721"/>
    <w:multiLevelType w:val="hybridMultilevel"/>
    <w:tmpl w:val="7EB44D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0E44E4"/>
    <w:multiLevelType w:val="hybridMultilevel"/>
    <w:tmpl w:val="13E80DBC"/>
    <w:lvl w:ilvl="0" w:tplc="7C5423F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1AF6876"/>
    <w:multiLevelType w:val="hybridMultilevel"/>
    <w:tmpl w:val="9AD68258"/>
    <w:lvl w:ilvl="0" w:tplc="1A8275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DFD7602"/>
    <w:multiLevelType w:val="hybridMultilevel"/>
    <w:tmpl w:val="A3EE7998"/>
    <w:lvl w:ilvl="0" w:tplc="04090011">
      <w:start w:val="1"/>
      <w:numFmt w:val="decimal"/>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79580772"/>
    <w:multiLevelType w:val="hybridMultilevel"/>
    <w:tmpl w:val="9CCA8C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1519231">
    <w:abstractNumId w:val="4"/>
  </w:num>
  <w:num w:numId="2" w16cid:durableId="1014305066">
    <w:abstractNumId w:val="3"/>
  </w:num>
  <w:num w:numId="3" w16cid:durableId="428278691">
    <w:abstractNumId w:val="1"/>
  </w:num>
  <w:num w:numId="4" w16cid:durableId="362678725">
    <w:abstractNumId w:val="2"/>
  </w:num>
  <w:num w:numId="5" w16cid:durableId="70440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1D"/>
    <w:rsid w:val="001E6978"/>
    <w:rsid w:val="003B14B3"/>
    <w:rsid w:val="00442A9F"/>
    <w:rsid w:val="004E182A"/>
    <w:rsid w:val="005700F5"/>
    <w:rsid w:val="0063796B"/>
    <w:rsid w:val="0098741D"/>
    <w:rsid w:val="009E1ABB"/>
    <w:rsid w:val="00A847B0"/>
    <w:rsid w:val="00B224E8"/>
    <w:rsid w:val="00B275BF"/>
    <w:rsid w:val="00B55DBE"/>
    <w:rsid w:val="00B85DDA"/>
    <w:rsid w:val="00D21A8C"/>
    <w:rsid w:val="00D75D65"/>
    <w:rsid w:val="00E5205F"/>
    <w:rsid w:val="00FB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5E81"/>
  <w15:chartTrackingRefBased/>
  <w15:docId w15:val="{6B73974E-7E09-43FE-9621-68C2820B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41D"/>
    <w:pPr>
      <w:spacing w:line="259" w:lineRule="auto"/>
    </w:pPr>
    <w:rPr>
      <w:kern w:val="0"/>
      <w:sz w:val="22"/>
      <w:szCs w:val="22"/>
      <w14:ligatures w14:val="none"/>
    </w:rPr>
  </w:style>
  <w:style w:type="paragraph" w:styleId="Heading1">
    <w:name w:val="heading 1"/>
    <w:basedOn w:val="Normal"/>
    <w:next w:val="Normal"/>
    <w:link w:val="Heading1Char"/>
    <w:uiPriority w:val="9"/>
    <w:qFormat/>
    <w:rsid w:val="00987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4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4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4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4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4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4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4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4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41D"/>
    <w:rPr>
      <w:rFonts w:eastAsiaTheme="majorEastAsia" w:cstheme="majorBidi"/>
      <w:color w:val="272727" w:themeColor="text1" w:themeTint="D8"/>
    </w:rPr>
  </w:style>
  <w:style w:type="paragraph" w:styleId="Title">
    <w:name w:val="Title"/>
    <w:basedOn w:val="Normal"/>
    <w:next w:val="Normal"/>
    <w:link w:val="TitleChar"/>
    <w:uiPriority w:val="10"/>
    <w:qFormat/>
    <w:rsid w:val="00987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41D"/>
    <w:pPr>
      <w:spacing w:before="160"/>
      <w:jc w:val="center"/>
    </w:pPr>
    <w:rPr>
      <w:i/>
      <w:iCs/>
      <w:color w:val="404040" w:themeColor="text1" w:themeTint="BF"/>
    </w:rPr>
  </w:style>
  <w:style w:type="character" w:customStyle="1" w:styleId="QuoteChar">
    <w:name w:val="Quote Char"/>
    <w:basedOn w:val="DefaultParagraphFont"/>
    <w:link w:val="Quote"/>
    <w:uiPriority w:val="29"/>
    <w:rsid w:val="0098741D"/>
    <w:rPr>
      <w:i/>
      <w:iCs/>
      <w:color w:val="404040" w:themeColor="text1" w:themeTint="BF"/>
    </w:rPr>
  </w:style>
  <w:style w:type="paragraph" w:styleId="ListParagraph">
    <w:name w:val="List Paragraph"/>
    <w:basedOn w:val="Normal"/>
    <w:uiPriority w:val="34"/>
    <w:qFormat/>
    <w:rsid w:val="0098741D"/>
    <w:pPr>
      <w:ind w:left="720"/>
      <w:contextualSpacing/>
    </w:pPr>
  </w:style>
  <w:style w:type="character" w:styleId="IntenseEmphasis">
    <w:name w:val="Intense Emphasis"/>
    <w:basedOn w:val="DefaultParagraphFont"/>
    <w:uiPriority w:val="21"/>
    <w:qFormat/>
    <w:rsid w:val="0098741D"/>
    <w:rPr>
      <w:i/>
      <w:iCs/>
      <w:color w:val="2F5496" w:themeColor="accent1" w:themeShade="BF"/>
    </w:rPr>
  </w:style>
  <w:style w:type="paragraph" w:styleId="IntenseQuote">
    <w:name w:val="Intense Quote"/>
    <w:basedOn w:val="Normal"/>
    <w:next w:val="Normal"/>
    <w:link w:val="IntenseQuoteChar"/>
    <w:uiPriority w:val="30"/>
    <w:qFormat/>
    <w:rsid w:val="00987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41D"/>
    <w:rPr>
      <w:i/>
      <w:iCs/>
      <w:color w:val="2F5496" w:themeColor="accent1" w:themeShade="BF"/>
    </w:rPr>
  </w:style>
  <w:style w:type="character" w:styleId="IntenseReference">
    <w:name w:val="Intense Reference"/>
    <w:basedOn w:val="DefaultParagraphFont"/>
    <w:uiPriority w:val="32"/>
    <w:qFormat/>
    <w:rsid w:val="0098741D"/>
    <w:rPr>
      <w:b/>
      <w:bCs/>
      <w:smallCaps/>
      <w:color w:val="2F5496" w:themeColor="accent1" w:themeShade="BF"/>
      <w:spacing w:val="5"/>
    </w:rPr>
  </w:style>
  <w:style w:type="character" w:styleId="Hyperlink">
    <w:name w:val="Hyperlink"/>
    <w:basedOn w:val="DefaultParagraphFont"/>
    <w:uiPriority w:val="99"/>
    <w:unhideWhenUsed/>
    <w:rsid w:val="0098741D"/>
    <w:rPr>
      <w:color w:val="0563C1" w:themeColor="hyperlink"/>
      <w:u w:val="single"/>
    </w:rPr>
  </w:style>
  <w:style w:type="paragraph" w:styleId="NoSpacing">
    <w:name w:val="No Spacing"/>
    <w:uiPriority w:val="1"/>
    <w:qFormat/>
    <w:rsid w:val="0098741D"/>
    <w:pPr>
      <w:spacing w:after="0" w:line="240" w:lineRule="auto"/>
    </w:pPr>
    <w:rPr>
      <w:kern w:val="0"/>
      <w:sz w:val="22"/>
      <w:szCs w:val="22"/>
      <w14:ligatures w14:val="none"/>
    </w:rPr>
  </w:style>
  <w:style w:type="paragraph" w:styleId="Header">
    <w:name w:val="header"/>
    <w:basedOn w:val="Normal"/>
    <w:link w:val="HeaderChar"/>
    <w:uiPriority w:val="99"/>
    <w:unhideWhenUsed/>
    <w:rsid w:val="00987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41D"/>
    <w:rPr>
      <w:kern w:val="0"/>
      <w:sz w:val="22"/>
      <w:szCs w:val="22"/>
      <w14:ligatures w14:val="none"/>
    </w:rPr>
  </w:style>
  <w:style w:type="paragraph" w:styleId="Footer">
    <w:name w:val="footer"/>
    <w:basedOn w:val="Normal"/>
    <w:link w:val="FooterChar"/>
    <w:uiPriority w:val="99"/>
    <w:unhideWhenUsed/>
    <w:rsid w:val="00987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1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brownfields.org/Public/Brownfields_GAP_Financing/Hennepin_County_GAP-Financing-Program.aspx?WebsiteKey=d9e8426c-6f41-4277-852d-a80353773ecd&amp;hkey=68c6b202-5470-4f1f-94c9-937c77b92543&amp;033973826dfc=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nbrownfields.org/Public/Brownfields_GAP_Financing/Hennepin_County_GAP-Financing-Program.aspx?WebsiteKey=d9e8426c-6f41-4277-852d-a80353773ecd&amp;hkey=68c6b202-5470-4f1f-94c9-937c77b92543&amp;033973826dfc=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rants@mnbrownfields.org" TargetMode="External"/><Relationship Id="rId4" Type="http://schemas.openxmlformats.org/officeDocument/2006/relationships/webSettings" Target="webSettings.xml"/><Relationship Id="rId9" Type="http://schemas.openxmlformats.org/officeDocument/2006/relationships/hyperlink" Target="mailto:grants@mnbrownfiel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Kluesner</dc:creator>
  <cp:keywords/>
  <dc:description/>
  <cp:lastModifiedBy>Elizabeth Kluesner</cp:lastModifiedBy>
  <cp:revision>5</cp:revision>
  <dcterms:created xsi:type="dcterms:W3CDTF">2025-10-27T22:43:00Z</dcterms:created>
  <dcterms:modified xsi:type="dcterms:W3CDTF">2025-10-30T15:03:00Z</dcterms:modified>
</cp:coreProperties>
</file>